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1CD9" w14:textId="4E02AA2C" w:rsidR="002E5848" w:rsidRDefault="002E5848" w:rsidP="002E5848">
      <w:pPr>
        <w:spacing w:after="0" w:line="240" w:lineRule="auto"/>
        <w:rPr>
          <w:rFonts w:ascii="Times New Roman" w:eastAsia="Times New Roman" w:hAnsi="Times New Roman" w:cs="Times New Roman"/>
          <w:kern w:val="0"/>
          <w14:ligatures w14:val="none"/>
        </w:rPr>
      </w:pPr>
      <w:r w:rsidRPr="00FD2090">
        <w:rPr>
          <w:rFonts w:ascii="Times New Roman" w:eastAsia="Times New Roman" w:hAnsi="Times New Roman" w:cs="Times New Roman"/>
          <w:kern w:val="0"/>
          <w14:ligatures w14:val="none"/>
        </w:rPr>
        <w:t>RFP No. 2026MMCD03 OWNER’S REPRESENTATIVE / CAPITAL PROJECT MANAGEMENT SERVICES. </w:t>
      </w:r>
    </w:p>
    <w:p w14:paraId="642879F7" w14:textId="77777777" w:rsidR="002E5848" w:rsidRPr="002E5848" w:rsidRDefault="002E5848" w:rsidP="002E5848">
      <w:pPr>
        <w:spacing w:after="0" w:line="240" w:lineRule="auto"/>
        <w:rPr>
          <w:rFonts w:ascii="Times New Roman" w:eastAsia="Times New Roman" w:hAnsi="Times New Roman" w:cs="Times New Roman"/>
          <w:kern w:val="0"/>
          <w14:ligatures w14:val="none"/>
        </w:rPr>
      </w:pPr>
    </w:p>
    <w:p w14:paraId="4419C849" w14:textId="4CE1846D"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Regarding the St. Paul Lab Renovation, Capital Maintenance, and Maple Grove projects: Could the District provide the estimated Total Project Budget for each?</w:t>
      </w:r>
    </w:p>
    <w:p w14:paraId="2C257B47"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As reflected in the 2026 Budget, the combined total budget for the St. Paul Lab Renovation and Maple Grove projects is $7,625,000, with an additional $1,100,000 budgeted for associated Capital Maintenance projects.</w:t>
      </w:r>
    </w:p>
    <w:p w14:paraId="34F715B4"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 xml:space="preserve">Bids for these projects have not yet been received. 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xml:space="preserve"> anticipates beginning the formal estimating process in May 2026, with the goal of obtaining Board/project approval in July 2026. Proposers should use this timeline and the aggregate budget amounts as the basis for resource planning.</w:t>
      </w:r>
    </w:p>
    <w:p w14:paraId="06087C1A"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The indicated schedule states:</w:t>
      </w:r>
      <w:r w:rsidRPr="002E5848">
        <w:rPr>
          <w:rFonts w:ascii="Arial" w:eastAsia="Times New Roman" w:hAnsi="Arial" w:cs="Arial"/>
          <w:color w:val="3F3F46"/>
          <w:kern w:val="0"/>
          <w:sz w:val="21"/>
          <w:szCs w:val="21"/>
          <w14:ligatures w14:val="none"/>
        </w:rPr>
        <w:br/>
        <w:t>• Proposals Due: June 12, 2026, at 5:00 p.m.</w:t>
      </w:r>
      <w:r w:rsidRPr="002E5848">
        <w:rPr>
          <w:rFonts w:ascii="Arial" w:eastAsia="Times New Roman" w:hAnsi="Arial" w:cs="Arial"/>
          <w:color w:val="3F3F46"/>
          <w:kern w:val="0"/>
          <w:sz w:val="21"/>
          <w:szCs w:val="21"/>
          <w14:ligatures w14:val="none"/>
        </w:rPr>
        <w:br/>
        <w:t>• Interviews (if conducted): Week of June 22, 2026</w:t>
      </w:r>
      <w:r w:rsidRPr="002E5848">
        <w:rPr>
          <w:rFonts w:ascii="Arial" w:eastAsia="Times New Roman" w:hAnsi="Arial" w:cs="Arial"/>
          <w:color w:val="3F3F46"/>
          <w:kern w:val="0"/>
          <w:sz w:val="21"/>
          <w:szCs w:val="21"/>
          <w14:ligatures w14:val="none"/>
        </w:rPr>
        <w:br/>
        <w:t>• Anticipated Finalist Ranking / Negotiation Period: June 29–July 22, 2026</w:t>
      </w:r>
      <w:r w:rsidRPr="002E5848">
        <w:rPr>
          <w:rFonts w:ascii="Arial" w:eastAsia="Times New Roman" w:hAnsi="Arial" w:cs="Arial"/>
          <w:color w:val="3F3F46"/>
          <w:kern w:val="0"/>
          <w:sz w:val="21"/>
          <w:szCs w:val="21"/>
          <w14:ligatures w14:val="none"/>
        </w:rPr>
        <w:br/>
        <w:t>• MMCD Board Approval of Construction Bidder: July 22, 2026</w:t>
      </w:r>
      <w:r w:rsidRPr="002E5848">
        <w:rPr>
          <w:rFonts w:ascii="Arial" w:eastAsia="Times New Roman" w:hAnsi="Arial" w:cs="Arial"/>
          <w:color w:val="3F3F46"/>
          <w:kern w:val="0"/>
          <w:sz w:val="21"/>
          <w:szCs w:val="21"/>
          <w14:ligatures w14:val="none"/>
        </w:rPr>
        <w:br/>
        <w:t>• Anticipated Selection of Owner’s Representative / Notice of Intent to Award: After July 22, 2026</w:t>
      </w:r>
    </w:p>
    <w:p w14:paraId="0E8D9F88"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To leverage the full value of the Representative’s specialized knowledge, having the Owner’s Representative in place for the critical final review of the construction bids will maximize the value of their expertise and ensure we make the most informed decision possible for the July 22 approval. This adjustment would integrate the Owner’s Representative into the final stages of the construction bid review process to ensure a more rigorous and informed bidder selection, ultimately mitigating risk and improving project readiness.</w:t>
      </w:r>
    </w:p>
    <w:p w14:paraId="6A2DCCB7"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Would the District consider the strategic benefit of initiating the Owner’s Representative's engagement sooner than indicated, providing time to review construction bids and provide opinion in advance of the July 22 approval (</w:t>
      </w:r>
      <w:proofErr w:type="spellStart"/>
      <w:r w:rsidRPr="002E5848">
        <w:rPr>
          <w:rFonts w:ascii="Arial" w:eastAsia="Times New Roman" w:hAnsi="Arial" w:cs="Arial"/>
          <w:color w:val="3F3F46"/>
          <w:kern w:val="0"/>
          <w:sz w:val="21"/>
          <w:szCs w:val="21"/>
          <w14:ligatures w14:val="none"/>
        </w:rPr>
        <w:t>ie</w:t>
      </w:r>
      <w:proofErr w:type="spellEnd"/>
      <w:r w:rsidRPr="002E5848">
        <w:rPr>
          <w:rFonts w:ascii="Arial" w:eastAsia="Times New Roman" w:hAnsi="Arial" w:cs="Arial"/>
          <w:color w:val="3F3F46"/>
          <w:kern w:val="0"/>
          <w:sz w:val="21"/>
          <w:szCs w:val="21"/>
          <w14:ligatures w14:val="none"/>
        </w:rPr>
        <w:t>. start of work by July 13 or sooner)?</w:t>
      </w:r>
    </w:p>
    <w:p w14:paraId="7A137E0A"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 xml:space="preserve">We are prepared to execute a contract and begin work on an accelerated timeline if an earlier start date is a consideration for 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If the District desires this early start, should we specifically include this capability and readiness within our proposal?</w:t>
      </w:r>
    </w:p>
    <w:p w14:paraId="58D7459C"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 xml:space="preserve">As an additional pathway to further expedite an early start to the Owner’s Representative's engagement, would 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xml:space="preserve"> have interest </w:t>
      </w:r>
      <w:proofErr w:type="gramStart"/>
      <w:r w:rsidRPr="002E5848">
        <w:rPr>
          <w:rFonts w:ascii="Arial" w:eastAsia="Times New Roman" w:hAnsi="Arial" w:cs="Arial"/>
          <w:color w:val="3F3F46"/>
          <w:kern w:val="0"/>
          <w:sz w:val="21"/>
          <w:szCs w:val="21"/>
          <w14:ligatures w14:val="none"/>
        </w:rPr>
        <w:t>to consider</w:t>
      </w:r>
      <w:proofErr w:type="gramEnd"/>
      <w:r w:rsidRPr="002E5848">
        <w:rPr>
          <w:rFonts w:ascii="Arial" w:eastAsia="Times New Roman" w:hAnsi="Arial" w:cs="Arial"/>
          <w:color w:val="3F3F46"/>
          <w:kern w:val="0"/>
          <w:sz w:val="21"/>
          <w:szCs w:val="21"/>
          <w14:ligatures w14:val="none"/>
        </w:rPr>
        <w:t xml:space="preserve"> direct solicitation of a Small Business Enterprise approved through the Twin Cities Central Certification (CERT) Program?</w:t>
      </w:r>
    </w:p>
    <w:p w14:paraId="559654CD"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CERT is a County-designated small business certification program which provides a procurement pathway for Counties to directly solicit contracts not to exceed $250,000 with certified small business as defined via Minn. Stat. 471.345 (Subd. 20) </w:t>
      </w:r>
      <w:hyperlink r:id="rId5" w:tgtFrame="_blank" w:history="1">
        <w:r w:rsidRPr="002E5848">
          <w:rPr>
            <w:rFonts w:ascii="Arial" w:eastAsia="Times New Roman" w:hAnsi="Arial" w:cs="Arial"/>
            <w:color w:val="0078D4"/>
            <w:kern w:val="0"/>
            <w:sz w:val="21"/>
            <w:szCs w:val="21"/>
            <w14:ligatures w14:val="none"/>
          </w:rPr>
          <w:t>https://www.revisor.mn.gov/statutes/cite/471.345</w:t>
        </w:r>
      </w:hyperlink>
      <w:r w:rsidRPr="002E5848">
        <w:rPr>
          <w:rFonts w:ascii="Arial" w:eastAsia="Times New Roman" w:hAnsi="Arial" w:cs="Arial"/>
          <w:color w:val="3F3F46"/>
          <w:kern w:val="0"/>
          <w:sz w:val="21"/>
          <w:szCs w:val="21"/>
          <w14:ligatures w14:val="none"/>
        </w:rPr>
        <w:t>. The wording of the Statute states that Subd. 20 "applies only to county boards," so I'm not entirely certain that this extends to an organization like MMCD directed by a Commission composed of County Board representatives.</w:t>
      </w:r>
    </w:p>
    <w:p w14:paraId="0340223B"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lastRenderedPageBreak/>
        <w:t xml:space="preserve">If the District is </w:t>
      </w:r>
      <w:proofErr w:type="gramStart"/>
      <w:r w:rsidRPr="002E5848">
        <w:rPr>
          <w:rFonts w:ascii="Arial" w:eastAsia="Times New Roman" w:hAnsi="Arial" w:cs="Arial"/>
          <w:color w:val="3F3F46"/>
          <w:kern w:val="0"/>
          <w:sz w:val="21"/>
          <w:szCs w:val="21"/>
          <w14:ligatures w14:val="none"/>
        </w:rPr>
        <w:t>interest</w:t>
      </w:r>
      <w:proofErr w:type="gramEnd"/>
      <w:r w:rsidRPr="002E5848">
        <w:rPr>
          <w:rFonts w:ascii="Arial" w:eastAsia="Times New Roman" w:hAnsi="Arial" w:cs="Arial"/>
          <w:color w:val="3F3F46"/>
          <w:kern w:val="0"/>
          <w:sz w:val="21"/>
          <w:szCs w:val="21"/>
          <w14:ligatures w14:val="none"/>
        </w:rPr>
        <w:t xml:space="preserve"> </w:t>
      </w:r>
      <w:proofErr w:type="gramStart"/>
      <w:r w:rsidRPr="002E5848">
        <w:rPr>
          <w:rFonts w:ascii="Arial" w:eastAsia="Times New Roman" w:hAnsi="Arial" w:cs="Arial"/>
          <w:color w:val="3F3F46"/>
          <w:kern w:val="0"/>
          <w:sz w:val="21"/>
          <w:szCs w:val="21"/>
          <w14:ligatures w14:val="none"/>
        </w:rPr>
        <w:t>to pursue</w:t>
      </w:r>
      <w:proofErr w:type="gramEnd"/>
      <w:r w:rsidRPr="002E5848">
        <w:rPr>
          <w:rFonts w:ascii="Arial" w:eastAsia="Times New Roman" w:hAnsi="Arial" w:cs="Arial"/>
          <w:color w:val="3F3F46"/>
          <w:kern w:val="0"/>
          <w:sz w:val="21"/>
          <w:szCs w:val="21"/>
          <w14:ligatures w14:val="none"/>
        </w:rPr>
        <w:t xml:space="preserve"> the small business pathway, I can expedite preparation of a relevant Statement of Qualifications for District Board consideration.</w:t>
      </w:r>
    </w:p>
    <w:p w14:paraId="4E6DD82C"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 xml:space="preserve">The District appreciates the thoughtful analysis and strategic considerations regarding the project timeline. After review, 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xml:space="preserve"> has decided to maintain the RFP schedule and selection process as originally published.</w:t>
      </w:r>
    </w:p>
    <w:p w14:paraId="670AE64D"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This decision is based on the following:</w:t>
      </w:r>
    </w:p>
    <w:p w14:paraId="28321268" w14:textId="77777777" w:rsidR="002E5848" w:rsidRPr="002E5848" w:rsidRDefault="002E5848" w:rsidP="002E5848">
      <w:pPr>
        <w:numPr>
          <w:ilvl w:val="0"/>
          <w:numId w:val="1"/>
        </w:numPr>
        <w:shd w:val="clear" w:color="auto" w:fill="FFFFFF"/>
        <w:spacing w:before="100" w:beforeAutospacing="1" w:after="240"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 xml:space="preserve">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xml:space="preserve"> is currently receiving comprehensive bidding support and technical oversight from its contracted architects and legal counsel. These teams are responsible for supporting bid integrity and compliance in advance of the July 22 Board consideration.</w:t>
      </w:r>
    </w:p>
    <w:p w14:paraId="23F8F1FB" w14:textId="77777777" w:rsidR="002E5848" w:rsidRPr="002E5848" w:rsidRDefault="002E5848" w:rsidP="002E5848">
      <w:pPr>
        <w:numPr>
          <w:ilvl w:val="0"/>
          <w:numId w:val="1"/>
        </w:numPr>
        <w:shd w:val="clear" w:color="auto" w:fill="FFFFFF"/>
        <w:spacing w:before="100" w:beforeAutospacing="1" w:after="240"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Upon selection and Board approval, the Owner’s Representative will be provided with all necessary documentation to ensure they are fully briefed on the bid results and current project status.</w:t>
      </w:r>
    </w:p>
    <w:p w14:paraId="2067E7A1" w14:textId="77777777" w:rsidR="002E5848" w:rsidRPr="002E5848" w:rsidRDefault="002E5848" w:rsidP="002E5848">
      <w:pPr>
        <w:numPr>
          <w:ilvl w:val="0"/>
          <w:numId w:val="1"/>
        </w:numPr>
        <w:shd w:val="clear" w:color="auto" w:fill="FFFFFF"/>
        <w:spacing w:before="100" w:beforeAutospacing="1" w:after="0"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 xml:space="preserve">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xml:space="preserve"> will maintain the RFP as issued </w:t>
      </w:r>
      <w:proofErr w:type="gramStart"/>
      <w:r w:rsidRPr="002E5848">
        <w:rPr>
          <w:rFonts w:ascii="Arial" w:eastAsia="Times New Roman" w:hAnsi="Arial" w:cs="Arial"/>
          <w:color w:val="3F3F46"/>
          <w:kern w:val="0"/>
          <w:sz w:val="21"/>
          <w:szCs w:val="21"/>
          <w14:ligatures w14:val="none"/>
        </w:rPr>
        <w:t>in order to</w:t>
      </w:r>
      <w:proofErr w:type="gramEnd"/>
      <w:r w:rsidRPr="002E5848">
        <w:rPr>
          <w:rFonts w:ascii="Arial" w:eastAsia="Times New Roman" w:hAnsi="Arial" w:cs="Arial"/>
          <w:color w:val="3F3F46"/>
          <w:kern w:val="0"/>
          <w:sz w:val="21"/>
          <w:szCs w:val="21"/>
          <w14:ligatures w14:val="none"/>
        </w:rPr>
        <w:t xml:space="preserve"> support a fair, transparent, and competitive procurement process and to ensure that all projects proceed under the unified direction deemed appropriate by the Commission.</w:t>
      </w:r>
    </w:p>
    <w:p w14:paraId="4D2DBCDE"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 xml:space="preserve">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xml:space="preserve"> remains committed to the established timeline in support of project readiness and fiscal responsibility.</w:t>
      </w:r>
    </w:p>
    <w:p w14:paraId="6EB35F05"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Curious about the anticipated square footage</w:t>
      </w:r>
    </w:p>
    <w:p w14:paraId="725142DE"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p>
    <w:p w14:paraId="327F28D3" w14:textId="77777777" w:rsidR="002E5848" w:rsidRPr="002E5848" w:rsidRDefault="002E5848" w:rsidP="002E5848">
      <w:pPr>
        <w:numPr>
          <w:ilvl w:val="0"/>
          <w:numId w:val="2"/>
        </w:numPr>
        <w:shd w:val="clear" w:color="auto" w:fill="FFFFFF"/>
        <w:spacing w:before="100" w:beforeAutospacing="1" w:after="240"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St. Paul Total Building: 36,287 SF (calculated)</w:t>
      </w:r>
    </w:p>
    <w:p w14:paraId="534DE8F7" w14:textId="77777777" w:rsidR="002E5848" w:rsidRPr="002E5848" w:rsidRDefault="002E5848" w:rsidP="002E5848">
      <w:pPr>
        <w:numPr>
          <w:ilvl w:val="0"/>
          <w:numId w:val="2"/>
        </w:numPr>
        <w:shd w:val="clear" w:color="auto" w:fill="FFFFFF"/>
        <w:spacing w:before="100" w:beforeAutospacing="1" w:after="0"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Maple Grove Warehouse: approximately 19,000 SF</w:t>
      </w:r>
    </w:p>
    <w:p w14:paraId="6EEF1C0D"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MOCA Services intends to propose on MMCD’s Owner Representative Services RFP No. 2026MMCD03- are we to expect the responses to questions to be issued directly from you?</w:t>
      </w:r>
    </w:p>
    <w:p w14:paraId="66141422"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 xml:space="preserve">Yes. Responses to questions will be posted on the </w:t>
      </w:r>
      <w:proofErr w:type="gramStart"/>
      <w:r w:rsidRPr="002E5848">
        <w:rPr>
          <w:rFonts w:ascii="Arial" w:eastAsia="Times New Roman" w:hAnsi="Arial" w:cs="Arial"/>
          <w:color w:val="3F3F46"/>
          <w:kern w:val="0"/>
          <w:sz w:val="21"/>
          <w:szCs w:val="21"/>
          <w14:ligatures w14:val="none"/>
        </w:rPr>
        <w:t>District’s</w:t>
      </w:r>
      <w:proofErr w:type="gramEnd"/>
      <w:r w:rsidRPr="002E5848">
        <w:rPr>
          <w:rFonts w:ascii="Arial" w:eastAsia="Times New Roman" w:hAnsi="Arial" w:cs="Arial"/>
          <w:color w:val="3F3F46"/>
          <w:kern w:val="0"/>
          <w:sz w:val="21"/>
          <w:szCs w:val="21"/>
          <w14:ligatures w14:val="none"/>
        </w:rPr>
        <w:t xml:space="preserve"> website under the RFP.</w:t>
      </w:r>
    </w:p>
    <w:p w14:paraId="2B554E78"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p>
    <w:p w14:paraId="02B01D93" w14:textId="77777777" w:rsidR="002E5848" w:rsidRPr="002E5848" w:rsidRDefault="002E5848" w:rsidP="002E5848">
      <w:pPr>
        <w:numPr>
          <w:ilvl w:val="0"/>
          <w:numId w:val="3"/>
        </w:numPr>
        <w:shd w:val="clear" w:color="auto" w:fill="FFFFFF"/>
        <w:spacing w:before="100" w:beforeAutospacing="1" w:after="0" w:line="240" w:lineRule="auto"/>
        <w:rPr>
          <w:rFonts w:ascii="Arial" w:eastAsia="Times New Roman" w:hAnsi="Arial" w:cs="Arial"/>
          <w:color w:val="3F3F46"/>
          <w:kern w:val="0"/>
          <w:sz w:val="21"/>
          <w:szCs w:val="21"/>
          <w14:ligatures w14:val="none"/>
        </w:rPr>
      </w:pPr>
      <w:r w:rsidRPr="002E5848">
        <w:rPr>
          <w:rFonts w:ascii="Arial" w:eastAsia="Times New Roman" w:hAnsi="Arial" w:cs="Arial"/>
          <w:color w:val="3F3F46"/>
          <w:kern w:val="0"/>
          <w:sz w:val="21"/>
          <w:szCs w:val="21"/>
          <w14:ligatures w14:val="none"/>
        </w:rPr>
        <w:t>Does MMCD anticipate the selected consultant providing full-time on-site representation, hybrid support, or primarily remote management services?</w:t>
      </w:r>
    </w:p>
    <w:p w14:paraId="396B4AEC"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 xml:space="preserve">A combination of all three is acceptable; however, the </w:t>
      </w:r>
      <w:proofErr w:type="gramStart"/>
      <w:r w:rsidRPr="002E5848">
        <w:rPr>
          <w:rFonts w:ascii="Arial" w:eastAsia="Times New Roman" w:hAnsi="Arial" w:cs="Arial"/>
          <w:color w:val="3F3F46"/>
          <w:kern w:val="0"/>
          <w:sz w:val="21"/>
          <w:szCs w:val="21"/>
          <w14:ligatures w14:val="none"/>
        </w:rPr>
        <w:t>District</w:t>
      </w:r>
      <w:proofErr w:type="gramEnd"/>
      <w:r w:rsidRPr="002E5848">
        <w:rPr>
          <w:rFonts w:ascii="Arial" w:eastAsia="Times New Roman" w:hAnsi="Arial" w:cs="Arial"/>
          <w:color w:val="3F3F46"/>
          <w:kern w:val="0"/>
          <w:sz w:val="21"/>
          <w:szCs w:val="21"/>
          <w14:ligatures w14:val="none"/>
        </w:rPr>
        <w:t xml:space="preserve"> does anticipate the need for on-site support.</w:t>
      </w:r>
    </w:p>
    <w:p w14:paraId="64261441"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lastRenderedPageBreak/>
        <w:t>Question:</w:t>
      </w:r>
      <w:r w:rsidRPr="002E5848">
        <w:rPr>
          <w:rFonts w:ascii="Arial" w:eastAsia="Times New Roman" w:hAnsi="Arial" w:cs="Arial"/>
          <w:color w:val="3F3F46"/>
          <w:kern w:val="0"/>
          <w:sz w:val="21"/>
          <w:szCs w:val="21"/>
          <w14:ligatures w14:val="none"/>
        </w:rPr>
        <w:br/>
        <w:t>2. Are all listed projects expected to be included under the initial contract, or will services be authorized on a task-order basis?</w:t>
      </w:r>
    </w:p>
    <w:p w14:paraId="23E3EE43"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Services will be authorized on a task-order basis. The two primary projects are the St. Paul Renovation and the Maple Grove Warehouse.</w:t>
      </w:r>
    </w:p>
    <w:p w14:paraId="7A384259"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3. Should the consultant provide only personnel rates and avoid making assumptions about potential activities or tasks?</w:t>
      </w:r>
    </w:p>
    <w:p w14:paraId="5B565182"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No. Consultants may make assumptions if they choose to do so.</w:t>
      </w:r>
    </w:p>
    <w:p w14:paraId="1981C7C3"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 xml:space="preserve">4. The RFP references projects, are </w:t>
      </w:r>
      <w:proofErr w:type="gramStart"/>
      <w:r w:rsidRPr="002E5848">
        <w:rPr>
          <w:rFonts w:ascii="Arial" w:eastAsia="Times New Roman" w:hAnsi="Arial" w:cs="Arial"/>
          <w:color w:val="3F3F46"/>
          <w:kern w:val="0"/>
          <w:sz w:val="21"/>
          <w:szCs w:val="21"/>
          <w14:ligatures w14:val="none"/>
        </w:rPr>
        <w:t>all of</w:t>
      </w:r>
      <w:proofErr w:type="gramEnd"/>
      <w:r w:rsidRPr="002E5848">
        <w:rPr>
          <w:rFonts w:ascii="Arial" w:eastAsia="Times New Roman" w:hAnsi="Arial" w:cs="Arial"/>
          <w:color w:val="3F3F46"/>
          <w:kern w:val="0"/>
          <w:sz w:val="21"/>
          <w:szCs w:val="21"/>
          <w14:ligatures w14:val="none"/>
        </w:rPr>
        <w:t xml:space="preserve"> these projects funded?</w:t>
      </w:r>
    </w:p>
    <w:p w14:paraId="22D94E05"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The projects are budgeted. The two primary projects remain pending Board approval of the responsive bidder, which is anticipated on July 22.</w:t>
      </w:r>
    </w:p>
    <w:p w14:paraId="0592E8EA"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5. If they are funded, what revenue source provides the funding?</w:t>
      </w:r>
    </w:p>
    <w:p w14:paraId="6FFE1D57" w14:textId="1A39D222"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r>
      <w:r>
        <w:rPr>
          <w:rFonts w:ascii="Arial" w:eastAsia="Times New Roman" w:hAnsi="Arial" w:cs="Arial"/>
          <w:color w:val="3F3F46"/>
          <w:kern w:val="0"/>
          <w:sz w:val="21"/>
          <w:szCs w:val="21"/>
          <w14:ligatures w14:val="none"/>
        </w:rPr>
        <w:t>MMCD f</w:t>
      </w:r>
      <w:r w:rsidRPr="002E5848">
        <w:rPr>
          <w:rFonts w:ascii="Arial" w:eastAsia="Times New Roman" w:hAnsi="Arial" w:cs="Arial"/>
          <w:color w:val="3F3F46"/>
          <w:kern w:val="0"/>
          <w:sz w:val="21"/>
          <w:szCs w:val="21"/>
          <w14:ligatures w14:val="none"/>
        </w:rPr>
        <w:t>unding is provided through property taxes.</w:t>
      </w:r>
    </w:p>
    <w:p w14:paraId="02B885A0"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6. If one of the projects is funded with bonding, can you advise which one?</w:t>
      </w:r>
    </w:p>
    <w:p w14:paraId="7BEAF7B4"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No bonding is anticipated for these projects.</w:t>
      </w:r>
    </w:p>
    <w:p w14:paraId="002DB786"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Question:</w:t>
      </w:r>
      <w:r w:rsidRPr="002E5848">
        <w:rPr>
          <w:rFonts w:ascii="Arial" w:eastAsia="Times New Roman" w:hAnsi="Arial" w:cs="Arial"/>
          <w:color w:val="3F3F46"/>
          <w:kern w:val="0"/>
          <w:sz w:val="21"/>
          <w:szCs w:val="21"/>
          <w14:ligatures w14:val="none"/>
        </w:rPr>
        <w:br/>
        <w:t>7. Are you looking for supportive services to advance grants to fund a project if the project is currently unfunded?</w:t>
      </w:r>
    </w:p>
    <w:p w14:paraId="74E62EEC" w14:textId="77777777" w:rsidR="002E5848" w:rsidRPr="002E5848" w:rsidRDefault="002E5848" w:rsidP="002E5848">
      <w:pPr>
        <w:shd w:val="clear" w:color="auto" w:fill="FFFFFF"/>
        <w:spacing w:before="100" w:beforeAutospacing="1" w:after="100" w:afterAutospacing="1" w:line="240" w:lineRule="auto"/>
        <w:rPr>
          <w:rFonts w:ascii="Arial" w:eastAsia="Times New Roman" w:hAnsi="Arial" w:cs="Arial"/>
          <w:color w:val="3F3F46"/>
          <w:kern w:val="0"/>
          <w:sz w:val="21"/>
          <w:szCs w:val="21"/>
          <w14:ligatures w14:val="none"/>
        </w:rPr>
      </w:pPr>
      <w:r w:rsidRPr="002E5848">
        <w:rPr>
          <w:rFonts w:ascii="Arial" w:eastAsia="Times New Roman" w:hAnsi="Arial" w:cs="Arial"/>
          <w:b/>
          <w:bCs/>
          <w:color w:val="3F3F46"/>
          <w:kern w:val="0"/>
          <w:sz w:val="21"/>
          <w:szCs w:val="21"/>
          <w14:ligatures w14:val="none"/>
        </w:rPr>
        <w:t>Response:</w:t>
      </w:r>
      <w:r w:rsidRPr="002E5848">
        <w:rPr>
          <w:rFonts w:ascii="Arial" w:eastAsia="Times New Roman" w:hAnsi="Arial" w:cs="Arial"/>
          <w:color w:val="3F3F46"/>
          <w:kern w:val="0"/>
          <w:sz w:val="21"/>
          <w:szCs w:val="21"/>
          <w14:ligatures w14:val="none"/>
        </w:rPr>
        <w:br/>
        <w:t>All projects are budgeted. However, the District may need assistance related to the Brownfield grant, as it is currently exploring grant funding for land mitigation at Maple Grove.</w:t>
      </w:r>
    </w:p>
    <w:p w14:paraId="19E4D5A6" w14:textId="77777777" w:rsidR="002E5848" w:rsidRDefault="002E5848"/>
    <w:sectPr w:rsidR="002E5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D64"/>
    <w:multiLevelType w:val="multilevel"/>
    <w:tmpl w:val="61B6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52F7"/>
    <w:multiLevelType w:val="multilevel"/>
    <w:tmpl w:val="1122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376ED"/>
    <w:multiLevelType w:val="multilevel"/>
    <w:tmpl w:val="7EBE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957041">
    <w:abstractNumId w:val="0"/>
  </w:num>
  <w:num w:numId="2" w16cid:durableId="500195958">
    <w:abstractNumId w:val="1"/>
  </w:num>
  <w:num w:numId="3" w16cid:durableId="1335912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48"/>
    <w:rsid w:val="00131CF5"/>
    <w:rsid w:val="002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6E3B"/>
  <w15:chartTrackingRefBased/>
  <w15:docId w15:val="{F6431886-2468-4426-9220-8516D2D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848"/>
    <w:rPr>
      <w:rFonts w:eastAsiaTheme="majorEastAsia" w:cstheme="majorBidi"/>
      <w:color w:val="272727" w:themeColor="text1" w:themeTint="D8"/>
    </w:rPr>
  </w:style>
  <w:style w:type="paragraph" w:styleId="Title">
    <w:name w:val="Title"/>
    <w:basedOn w:val="Normal"/>
    <w:next w:val="Normal"/>
    <w:link w:val="TitleChar"/>
    <w:uiPriority w:val="10"/>
    <w:qFormat/>
    <w:rsid w:val="002E5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848"/>
    <w:pPr>
      <w:spacing w:before="160"/>
      <w:jc w:val="center"/>
    </w:pPr>
    <w:rPr>
      <w:i/>
      <w:iCs/>
      <w:color w:val="404040" w:themeColor="text1" w:themeTint="BF"/>
    </w:rPr>
  </w:style>
  <w:style w:type="character" w:customStyle="1" w:styleId="QuoteChar">
    <w:name w:val="Quote Char"/>
    <w:basedOn w:val="DefaultParagraphFont"/>
    <w:link w:val="Quote"/>
    <w:uiPriority w:val="29"/>
    <w:rsid w:val="002E5848"/>
    <w:rPr>
      <w:i/>
      <w:iCs/>
      <w:color w:val="404040" w:themeColor="text1" w:themeTint="BF"/>
    </w:rPr>
  </w:style>
  <w:style w:type="paragraph" w:styleId="ListParagraph">
    <w:name w:val="List Paragraph"/>
    <w:basedOn w:val="Normal"/>
    <w:uiPriority w:val="34"/>
    <w:qFormat/>
    <w:rsid w:val="002E5848"/>
    <w:pPr>
      <w:ind w:left="720"/>
      <w:contextualSpacing/>
    </w:pPr>
  </w:style>
  <w:style w:type="character" w:styleId="IntenseEmphasis">
    <w:name w:val="Intense Emphasis"/>
    <w:basedOn w:val="DefaultParagraphFont"/>
    <w:uiPriority w:val="21"/>
    <w:qFormat/>
    <w:rsid w:val="002E5848"/>
    <w:rPr>
      <w:i/>
      <w:iCs/>
      <w:color w:val="0F4761" w:themeColor="accent1" w:themeShade="BF"/>
    </w:rPr>
  </w:style>
  <w:style w:type="paragraph" w:styleId="IntenseQuote">
    <w:name w:val="Intense Quote"/>
    <w:basedOn w:val="Normal"/>
    <w:next w:val="Normal"/>
    <w:link w:val="IntenseQuoteChar"/>
    <w:uiPriority w:val="30"/>
    <w:qFormat/>
    <w:rsid w:val="002E5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848"/>
    <w:rPr>
      <w:i/>
      <w:iCs/>
      <w:color w:val="0F4761" w:themeColor="accent1" w:themeShade="BF"/>
    </w:rPr>
  </w:style>
  <w:style w:type="character" w:styleId="IntenseReference">
    <w:name w:val="Intense Reference"/>
    <w:basedOn w:val="DefaultParagraphFont"/>
    <w:uiPriority w:val="32"/>
    <w:qFormat/>
    <w:rsid w:val="002E5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isor.mn.gov/statutes/cite/471.3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5400</Characters>
  <Application>Microsoft Office Word</Application>
  <DocSecurity>0</DocSecurity>
  <Lines>108</Lines>
  <Paragraphs>44</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Mancilla-Diaz</dc:creator>
  <cp:keywords/>
  <dc:description/>
  <cp:lastModifiedBy>Maria Mancilla-Diaz</cp:lastModifiedBy>
  <cp:revision>1</cp:revision>
  <dcterms:created xsi:type="dcterms:W3CDTF">2026-05-21T20:16:00Z</dcterms:created>
  <dcterms:modified xsi:type="dcterms:W3CDTF">2026-05-21T20:17:00Z</dcterms:modified>
</cp:coreProperties>
</file>